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B70C9C">
        <w:rPr>
          <w:sz w:val="26"/>
          <w:szCs w:val="26"/>
        </w:rPr>
        <w:t>7</w:t>
      </w:r>
      <w:bookmarkStart w:id="0" w:name="_GoBack"/>
      <w:bookmarkEnd w:id="0"/>
    </w:p>
    <w:p w:rsidR="003B5B7C" w:rsidRPr="00011801" w:rsidRDefault="00011801" w:rsidP="00241D37">
      <w:pPr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передаче </w:t>
      </w:r>
      <w:r w:rsidR="00F8618A">
        <w:rPr>
          <w:sz w:val="26"/>
          <w:szCs w:val="26"/>
        </w:rPr>
        <w:t>документации</w:t>
      </w:r>
    </w:p>
    <w:p w:rsidR="00011801" w:rsidRPr="00011801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6"/>
          <w:szCs w:val="26"/>
        </w:rPr>
      </w:pPr>
      <w:r w:rsidRPr="00011801">
        <w:rPr>
          <w:rFonts w:eastAsia="Arial"/>
          <w:color w:val="000000"/>
          <w:sz w:val="26"/>
          <w:szCs w:val="26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011801">
        <w:rPr>
          <w:rFonts w:eastAsia="Arial"/>
          <w:sz w:val="26"/>
          <w:szCs w:val="26"/>
        </w:rPr>
        <w:t>(</w:t>
      </w:r>
      <w:r w:rsidR="00B14B6A">
        <w:rPr>
          <w:rFonts w:eastAsia="Arial"/>
          <w:sz w:val="26"/>
          <w:szCs w:val="26"/>
        </w:rPr>
        <w:t>с</w:t>
      </w:r>
      <w:r w:rsidRPr="00011801">
        <w:rPr>
          <w:rFonts w:eastAsia="Arial"/>
          <w:sz w:val="26"/>
          <w:szCs w:val="26"/>
        </w:rPr>
        <w:t>хемы трубопроводов и КИП,  генплан).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Рабочая документация не может быть передана </w:t>
      </w:r>
      <w:r w:rsidR="00241D37">
        <w:rPr>
          <w:sz w:val="26"/>
          <w:szCs w:val="26"/>
        </w:rPr>
        <w:t>Подрядчиком</w:t>
      </w:r>
      <w:r w:rsidRPr="00011801">
        <w:rPr>
          <w:sz w:val="26"/>
          <w:szCs w:val="26"/>
        </w:rPr>
        <w:t xml:space="preserve"> третьим лицам без письменного разрешения Заказчика</w:t>
      </w:r>
      <w:r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Рабочая документация должна быть разработана в соответствии с иерархией титульного списка.</w:t>
      </w:r>
    </w:p>
    <w:p w:rsidR="00502788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документация, указанная в п. 1.5, передается </w:t>
      </w:r>
      <w:r w:rsidRPr="00C21BBE">
        <w:rPr>
          <w:sz w:val="26"/>
          <w:szCs w:val="26"/>
        </w:rPr>
        <w:t>Подрядчиком в одном экземпляре на электронном носителе (на CD-R или DVD</w:t>
      </w:r>
      <w:r w:rsidRPr="00C21BBE">
        <w:rPr>
          <w:sz w:val="26"/>
          <w:szCs w:val="26"/>
        </w:rPr>
        <w:noBreakHyphen/>
        <w:t>R диске (дисках), допускается использовать USB-накопитель).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011801">
        <w:rPr>
          <w:sz w:val="26"/>
          <w:szCs w:val="26"/>
        </w:rPr>
        <w:t>Заказчика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>Подрядчика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 xml:space="preserve">номера договора, </w:t>
      </w:r>
      <w:r w:rsidRPr="00011801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011801">
        <w:rPr>
          <w:sz w:val="26"/>
          <w:szCs w:val="26"/>
        </w:rPr>
        <w:t>Windows</w:t>
      </w:r>
      <w:proofErr w:type="spellEnd"/>
      <w:r w:rsidRPr="00011801">
        <w:rPr>
          <w:sz w:val="26"/>
          <w:szCs w:val="26"/>
        </w:rPr>
        <w:t xml:space="preserve"> 7/XP.</w:t>
      </w:r>
    </w:p>
    <w:p w:rsidR="00011801" w:rsidRPr="00011801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Спецификации на оборудование и материалы предоставляются в формате</w:t>
      </w:r>
      <w:r w:rsidR="00F95A4C" w:rsidRPr="00F95A4C">
        <w:rPr>
          <w:sz w:val="26"/>
          <w:szCs w:val="26"/>
        </w:rPr>
        <w:t xml:space="preserve"> </w:t>
      </w:r>
      <w:r w:rsidR="00F95A4C" w:rsidRPr="00011801">
        <w:rPr>
          <w:sz w:val="26"/>
          <w:szCs w:val="26"/>
        </w:rPr>
        <w:t xml:space="preserve">MS </w:t>
      </w:r>
      <w:proofErr w:type="spellStart"/>
      <w:r w:rsidR="00F95A4C" w:rsidRPr="00011801">
        <w:rPr>
          <w:sz w:val="26"/>
          <w:szCs w:val="26"/>
        </w:rPr>
        <w:t>Office</w:t>
      </w:r>
      <w:proofErr w:type="spellEnd"/>
      <w:r w:rsidR="00F95A4C" w:rsidRPr="00011801">
        <w:rPr>
          <w:sz w:val="26"/>
          <w:szCs w:val="26"/>
        </w:rPr>
        <w:t xml:space="preserve"> 2010</w:t>
      </w:r>
      <w:r w:rsidR="00F95A4C" w:rsidRPr="00F95A4C">
        <w:rPr>
          <w:sz w:val="26"/>
          <w:szCs w:val="26"/>
        </w:rPr>
        <w:t xml:space="preserve"> (</w:t>
      </w:r>
      <w:r w:rsidR="00F95A4C">
        <w:rPr>
          <w:sz w:val="26"/>
          <w:szCs w:val="26"/>
          <w:lang w:val="en-US"/>
        </w:rPr>
        <w:t>Word</w:t>
      </w:r>
      <w:r w:rsidR="00F95A4C" w:rsidRPr="00F95A4C">
        <w:rPr>
          <w:sz w:val="26"/>
          <w:szCs w:val="26"/>
        </w:rPr>
        <w:t xml:space="preserve">, </w:t>
      </w:r>
      <w:r w:rsidR="00F95A4C">
        <w:rPr>
          <w:sz w:val="26"/>
          <w:szCs w:val="26"/>
          <w:lang w:val="en-US"/>
        </w:rPr>
        <w:t>Excel</w:t>
      </w:r>
      <w:r w:rsidR="00F95A4C" w:rsidRPr="00F95A4C">
        <w:rPr>
          <w:sz w:val="26"/>
          <w:szCs w:val="26"/>
        </w:rPr>
        <w:t>)</w:t>
      </w:r>
      <w:r w:rsidRPr="00011801">
        <w:rPr>
          <w:sz w:val="26"/>
          <w:szCs w:val="26"/>
        </w:rPr>
        <w:t>, данные документы должны быть защищены от записи.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Формат заказной спецификации, передаваемой в электронном виде, должен быть согласован с Заказчиком.</w:t>
      </w:r>
    </w:p>
    <w:p w:rsidR="00011801" w:rsidRDefault="00011801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252"/>
        <w:gridCol w:w="4602"/>
      </w:tblGrid>
      <w:tr w:rsidR="0028400E" w:rsidRPr="00E30F6E" w:rsidTr="00045122">
        <w:tc>
          <w:tcPr>
            <w:tcW w:w="9464" w:type="dxa"/>
            <w:shd w:val="clear" w:color="auto" w:fill="auto"/>
            <w:hideMark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b/>
                <w:sz w:val="24"/>
                <w:szCs w:val="24"/>
              </w:rPr>
            </w:pPr>
            <w:r w:rsidRPr="00E30F6E">
              <w:rPr>
                <w:rFonts w:eastAsia="Calibri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b/>
                <w:sz w:val="24"/>
                <w:szCs w:val="24"/>
              </w:rPr>
            </w:pPr>
            <w:r w:rsidRPr="00E30F6E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b/>
                <w:sz w:val="24"/>
                <w:szCs w:val="24"/>
              </w:rPr>
            </w:pPr>
            <w:r w:rsidRPr="00E30F6E">
              <w:rPr>
                <w:rFonts w:eastAsia="Calibri"/>
                <w:b/>
                <w:sz w:val="24"/>
                <w:szCs w:val="24"/>
              </w:rPr>
              <w:t>ОАО «</w:t>
            </w:r>
            <w:proofErr w:type="spellStart"/>
            <w:r w:rsidRPr="00E30F6E">
              <w:rPr>
                <w:rFonts w:eastAsia="Calibri"/>
                <w:b/>
                <w:sz w:val="24"/>
                <w:szCs w:val="24"/>
              </w:rPr>
              <w:t>Славнефть-ЯНОС</w:t>
            </w:r>
            <w:proofErr w:type="spellEnd"/>
            <w:r w:rsidRPr="00E30F6E">
              <w:rPr>
                <w:rFonts w:eastAsia="Calibri"/>
                <w:b/>
                <w:sz w:val="24"/>
                <w:szCs w:val="24"/>
              </w:rPr>
              <w:t>»</w:t>
            </w:r>
          </w:p>
        </w:tc>
      </w:tr>
      <w:tr w:rsidR="0028400E" w:rsidRPr="00E30F6E" w:rsidTr="00045122">
        <w:tc>
          <w:tcPr>
            <w:tcW w:w="9464" w:type="dxa"/>
            <w:shd w:val="clear" w:color="auto" w:fill="auto"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 w:rsidRPr="00E30F6E">
              <w:rPr>
                <w:rFonts w:eastAsia="Calibri"/>
                <w:sz w:val="24"/>
                <w:szCs w:val="24"/>
              </w:rPr>
              <w:t>__________________</w:t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</w:r>
            <w:r>
              <w:rPr>
                <w:rFonts w:eastAsia="Calibri"/>
                <w:sz w:val="24"/>
                <w:szCs w:val="24"/>
              </w:rPr>
              <w:softHyphen/>
              <w:t>_______________</w:t>
            </w:r>
            <w:r w:rsidRPr="00E30F6E">
              <w:rPr>
                <w:rFonts w:eastAsia="Calibri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28400E" w:rsidRPr="00E30F6E" w:rsidRDefault="0028400E" w:rsidP="00045122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 w:rsidRPr="00E30F6E">
              <w:rPr>
                <w:rFonts w:eastAsia="Calibri"/>
                <w:sz w:val="24"/>
                <w:szCs w:val="24"/>
              </w:rPr>
              <w:t xml:space="preserve"> _________________</w:t>
            </w:r>
            <w:r>
              <w:rPr>
                <w:rFonts w:eastAsia="Calibri"/>
                <w:sz w:val="24"/>
                <w:szCs w:val="24"/>
              </w:rPr>
              <w:t>________________</w:t>
            </w:r>
          </w:p>
        </w:tc>
      </w:tr>
    </w:tbl>
    <w:p w:rsidR="0028400E" w:rsidRPr="00011801" w:rsidRDefault="0028400E">
      <w:pPr>
        <w:rPr>
          <w:sz w:val="26"/>
          <w:szCs w:val="26"/>
        </w:rPr>
      </w:pPr>
    </w:p>
    <w:sectPr w:rsidR="0028400E" w:rsidRPr="00011801" w:rsidSect="0028400E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stylePaneFormatFilter w:val="3F01"/>
  <w:defaultTabStop w:val="708"/>
  <w:characterSpacingControl w:val="doNotCompress"/>
  <w:compat/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400E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85C7B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0C9C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7D5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330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OvsyannikovEA</cp:lastModifiedBy>
  <cp:revision>15</cp:revision>
  <dcterms:created xsi:type="dcterms:W3CDTF">2015-02-02T06:25:00Z</dcterms:created>
  <dcterms:modified xsi:type="dcterms:W3CDTF">2017-06-16T11:34:00Z</dcterms:modified>
</cp:coreProperties>
</file>